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«Бизнес Компьютер Софт»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«АСАП Консалтинг» 81 739 645 рублей 39 копеек задолженности, 5 373 344 рублей 27 копеек неустойки за просрочку оплаты оказанных услуг по договору от 01.08.2017 № АСАП/БКС-17-01, с последующим начислением неустойки в порядке пункта 7.5 договора с даты вынесения решения по день фактической оплаты. К участию в деле в качестве третьего лица, не заявляющего самостоятельных требований относительно предмета спора, привлечено акционерное общество «Инжиниринговая компания «АСЭ». Решением Арбитражного суда города Москвы от 12.03.2020 иск удовлетворен. Постановлением Девятого арбитражного апелляционного суда от 25.11.2020 решение суда первой инстанции оставлено без изменения. 2 Арбитражный суд Московского округа постановлением от 20.02.2021 указанные судебные акты оставил без изменения. Общество с ограниченной ответственностью «АСАП Консалтинг»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67, 68, 71 Арбитражного процессуального кодекса Российской Федерации, исходя из буквального толкования условий договора, установив, что спорный договор не содержит ссылок на его заключение во исполнение обязательств ответчика перед третьим лицом и оплата оказанных услуг связана исключительно с волеизъявлением ответчика (заказчика), признав доказанным факт оказания услуг и отсутствие доказательств своевременной их оплаты, руководствуясь статьями 307, 309, 310, 329, 330, 421, 431, 779, 781 Гражданского кодекса Российской Федерации, суды пришли к выводу об обоснованности заявленных требований. Доводы жалобы о наличии в договоре условий об отложном платеже, поставленном в зависимость от поступления денежных средств от третьего лица, приводились при рассмотрении дела, были рассмотрены судами и им дана надлежащая оценка.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3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«АСАП Консалтинг»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