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«ТД «Анри»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индивидуального предпринимателя И Маргариты Дончановны 2 607 572 рублей 73 копеек задолженности и неустойки по договору поставки от 22.11.2017. Решением Арбитражного суда Приморского края от 17.03.2020 иск удовлетворен. Определением Пятого арбитражного апелляционного суда от 25.12.2020 апелляционная жалоба возвращена предпринимателю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Дальневосточного округа постановлением от 01.03.2021 определение суда апелляционной инстанции оставил без изменения. 2 Индивидуальный предприниматель И Маргарита Дончановна обратилась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Статьей 259 АПК РФ предусмотрено, что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Судом апелляционной инстанции установлено, что апелляционная жалоба на решение суда первой инстанции от 17.03.2020 подана предпринимателем 10.12.2020 – с пропуском установленного частью 1 статьи 259 АПК РФ срока на обжалование судебного акта.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приведенные причины пропуска срока и пришел к выводу о 3 том, что они не являются уважительными, поскольку в соответствии со статьями 121, 122, 123 АПК РФ ответчик считается надлежащим образом извещенным о начавшемся судебном процессе с учетом направления ему судом копии судебного акта по указанному в Едином государственном реестре индивидуальных предпринимателей адресу, а также по адресу, указанному в договоре поставки. Доказательств того, что адрес, указанный в выписке из Единого государственного реестра индивидуальных предпринимателей, не является адресом места нахождения ответчика или был изменен в установленном порядке, предпринимателем не представлено.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поскольку ответчик не обеспечил получение поступившей по месту своего нахождения почтовой корреспонденции. Неправильного применения судами апелляционной и кассационной инстанций статей 117, 259,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И Маргарите Дончановне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