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«Хайтджинро-Русь Фуд Компани» обратилось в Арбитражный суд города Москвы с иском о взыскании с общества с ограниченной ответственностью «ВостокЭко» 2 971 509 рублей 72 копеек задолженности и 30 572 086 рублей 60 копеек неустойки. Решением Арбитражного суда города Москвы от 31.08.2020 иск удовлетворен. Постановлением Девятого арбитражного апелляционного суда от 04.12.2020 решение суда первой инстанции оставлено без изменения. Арбитражный суд Московского округа постановлением от 18.02.2021 указанные судебные акты оставил без изменения. Общество с ограниченной ответственностью «ВостокЭко»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доказанными факт поставки товара и отсутствие доказательств его своевременной оплаты в полном объеме, руководствуясь положениями статей 309, 310, 330, 486, 516 Гражданского кодекса Российской Федерации, суды пришли к выводу об обоснованности иска.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 жалобы о необоснованном отказе суда первой инстанции в применении положений статьи 333 Гражданского кодекса Российской Федерации приводился в судах апелляционной и кассационной инстанций, был рассмотрен судами и отклонен.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«ВостокЭко»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