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«Примтехснаб» обратилось в Арбитражный суд Приморского края с иском, уточненным в порядке статьи 49 Арбитражного процессуального кодекса Российской Федерации, о взыскании с муниципального унитарного предприятия города Владивостока «Владивостокское предприятие электрических сетей» 499 990 рублей задолженности и 34 276 рублей 48 копеек неустойки по договору от 08.04.2019 № 99. Решением Арбитражного суда Приморского края от 02.11.2020 иск удовлетворен в части взыскания 451 300 рублей задолженности и 30 944 рублей 14 копеек пени; в остальной части в удовлетворении иска отказано. Постановлением Пятого арбитражного апелляционного суда от 28.12.2020 решение суда первой инстанции оставлено без изменения. Арбитражный суд Дальневосточного округа постановлением от 24.03.2021 указанные судебные акты отменил в части удовлетворения иска и направил дело в указанной части на новое рассмотрение в Арбитражный суд 2 Приморского края; в остальной части решение суда первой инстанции и постановление суда апелляционной инстанции оставил без изменения. Общество с ограниченной ответственностью «Примтехснаб»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принятые по делу судебные акты в части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Доводы жалобы о необоснованном, по мнению заявителя, исключении из задолженности стоимости услуг за подачу техники приводились в судах,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«Примтехснаб»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