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«Челябинский опытно- экспериментальный завод» обратилось в Арбитражный суд Челябинской области с иском, уточненным в порядке статьи 49 Арбитражного процессуального кодекса Российской Федерации, о взыскании с федерального государственного унитарного предприятия «Производственное объединение «Маяк» 996 896 рублей 85 копеек неосновательного обогащения и 142 637 рублей 51 копейки процентов за пользование чужими денежными средствами, предусмотренных статьей 395 Гражданского кодекса Российской Федерации. К участию в деле в качестве третьего лица, не заявляющего самостоятельных требований относительно предмета спора, привлечен акционерный коммерческий банк «Держава» (публичное акционерное общество). 2 Решением Арбитражного суда Челябинской области от 03.06.2020 в удовлетворении иска отказано. Постановлением Восемнадцатого арбитражного апелляционного суда от 21.09.2020 решение суда первой инстанции оставлено без изменения. Арбитражный суд Уральского округа постановлением от 16.02.2021 указанные судебные акты отменил и направил дело на новое рассмотрение в Арбитражный суд Челябинской области. Федеральное государственное унитарное предприятие «Производственное объединение «Маяк»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3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«Производственное объединение «Маяк»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