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Сабирзянов Амур Фирдаусович на основании договора цессии от 04.09.2019 обратился в Арбитражный суд Нижегородской области с иском о взыскании с Российского Союза Автостраховщиков 100 000 рублей компенсационной выплаты, 4500 рублей расходов на оплату услуг независимого оценщика, 1500 рублей почтовых расходов и 10 000 рублей расходов по оплате услуг представителя. К участию в деле в качестве третьего лица, не заявляющего самостоятельных требований относительно предмета спора, привлечен Аржаев Владимир Сергеевич. Решением Арбитражного суда Нижегородской области от 24.08.2020 иск удовлетворен в части взыскания 100 000 рублей компенсационной выплаты, 4 500 рублей расходов на оплату услуг эксперта, 592 рублей 37 копеек почтовых расходов, 500 рублей расходов по оплате услуг представителя; в удовлетворении иска в остальной части отказано. 2 Постановлением Первого арбитражного апелляционного суда от 27.11.2020 решение суда первой инстанции оставлено без изменения. Арбитражный суд Волго-Вятского округа постановлением от 15.02.2021 указанные судебные акты оставил без изменения. Российский Союз Автостраховщиков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у страховщика причинителя вреда отозвана лицензия на осуществление страховой деятельности, права потерпевшего по страховому случаю вследствие причинения вреда в ДТП перешли к истцу по договору цессии, договор цессии соответствует правилам главы 24 Гражданского кодекса Российской Федерации, позволяет однозначно установить передаваемое право, руководствуясь положениями статей 15, 393, 931 Гражданского кодекса Российской Федерации, Федерального закона от 25.04.2002 № 40-ФЗ «Об обязательном страховании гражданской ответственности владельцев транспортных средств», разъяснениями, изложенными в постановлениях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суды пришли к выводу о том, что права требования, возникшие у потерпевшего в связи с причинением 3 вреда его имуществу в дорожно-транспортном происшествии, перешли к истцу; ответчик является лицом, обязанным осуществить компенсационную выплату, размер которой признан обоснованным. Довод заявителя о злоупотреблении правом со стороны истца являлся предметом рассмотрения судов и мотивированно отклонен. Доводы жалобы о недопустимости уступки права на компенсационную выплату основаны на неверном толковании норм права,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