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«Единая Служба Снабжения»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«ЕвроНасосКомплект-2015» 367 640 рублей стоимости некачественного товара, 18 840 рублей расходов по оплате заключения специалиста, 50 000 рублей расходов по оплате услуг представителя. Решением Арбитражного суда Свердловской области от 20.07.2020 иск удовлетворен в части взыскания 386 480 рублей задолженности и 30 000 рублей расходов по оплате услуг представителя; в удовлетворении заявления о взыскании судебных расходов в остальной части отказано. Постановлением Семнадцатого арбитражного апелляционного суда от 20.11.2020 решение суда первой инстанции отменено и в удовлетворении иска отказано в полном объеме. 2 Арбитражный суд Уральского округа постановлением от 12.02.2021 постановление суда апелляционной инстанции оставил без изменения. Общество с ограниченной ответственностью «Единая Служба Снабжения»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товар принят истцом (покупателем) без замечаний и отсутствуют доказательства наличия недостатков товара на момент его передачи истцу, руководствуясь положениями статей 309, 310, 467, 470, 474, 475, 506, 513, 516 Гражданского кодекса Российской Федерации, апелляционный суд пришел к выводу об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«Единая Служба Снабжения»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