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«Автоматика Базис- Комплект Холдинг» (исполнитель) обратилось в Арбитражный суд Свердловской области с иском о взыскании с общества с ограниченной ответственностью «Гранд-Сити» (заказчика) 175 000 рублей задолженности, 12 950 рублей неустойки за просрочку оплаты по договору от 10.04.2018 № 16, 5 010 рублей 27 копеек процентов за пользование чужими денежными средствами. Судом принят встречный иск общества с ограниченной ответственностью «Гранд-Сити», уточненный в порядке статьи 49 Арбитражного процессуального кодекса Российской Федерации, к обществу с ограниченной ответственностью «Автоматика Базис-Комплект Холдинг» о взыскании 398 629 рублей 52 копеек неустойки за нарушение сроков выполнения работ. Решением Арбитражного суда Свердловской области от 06.07.2020 первоначальный иск удовлетворен в части взыскания 175 000 рублей задолженности и 13 125 рублей неустойки; в удовлетворении первоначального 2 иска в остальной части отказано; встречный иск удовлетворен в части взыскания 342 629 рублей 52 копеек неустойки; в удовлетворении встречного иска в остальной части отказано. В результате зачета с общества с ограниченной ответственностью «Автоматика Базис-Комплект Холдинг» в пользу общества с ограниченной ответственностью «Гранд-Сити» взыскано 157 291 рубль 52 копейки. Постановлением Семнадцатого арбитражного апелляционного суда от 22.10.2020 решение суда первой инстанции оставлено без изменения. Арбитражный суд Уральского округа постановлением от 19.02.2021 указанные судебные акты оставил без изменения. Общество с ограниченной ответственностью «Автоматика Базис- Комплект Холдинг» обратилось в Судебную коллегию Верховного Суда Российской Федерации с кассационной жалобой на принятые по делу судебные акты в части удовлетворения встречного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нарушения исполнителем сроков сдачи работ и изделий заказчику, руководствуясь положениями статей 309, 310, 329, 330, 779 Гражданского кодекса Российской Федерации, суды пришли к выводу о правомерности встречных требований о взыскании неустойки за несвоевременное выполнение работ. Доводы, изложенные в кассационной жалобе, о невозможности соблюдения установленных договором сроков ввиду необходимости поставки нового оборудования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3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«Автоматика Базис- Комплект 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