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«Единство» (далее – общество) обратилось в суд с заявлением о включении его требований в размере 27 241 056 рублей 39 копеек в реестр требований кредиторов должника. Определением Арбитражного суда города Москвы от 07.08.2020, оставленным без изменения постановлениями Постановлением Девятого арбитражного апелляционного суда от 03.11.2020 и Арбитражного суда Московского округа от 25.12.2020, требование общества в размере 23 352 840 рублей основного долга включено в третью очередь реестра, 3 762 692 рубля 77 копеек неустойки – в третью очередь отдельно с удовлетворением после погашения основной задолженности и причитающихся процентов,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 субординации требований общества. Жалоба изучена в пределах изложенных в ней доводов. 2 Письмом Верховного суда Российской Федерации от 13.04.2021 материалы дела № А40-204302/2017, касающиеся данного спора,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позицией, изложенной в пунктах 3 и 3.3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выводу о недоказанности наличия оснований для понижения очерёдности требований общества.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Артему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