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компания обратилась в суд с заявлением о включении в реестр требований кредиторов должника задолженности в размере 93 445 555 рублей 83 копеек – основной долг, 10 281 570 рублей 99 копеек – проценты. Определением Арбитражного суда города Москвы от 01.09.2020 заявление удовлетворено. Постановлением Девятого арбитражного апелляционного суда от 18.11.2020, оставленным без изменения постановлением Арбитражного суда Московского округа от 11.02.2021, отменено определение суда первой инстанции от 01.09.2020,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суд апелляционной инстанции, руководствуясь положениями статьи 170 Гражданского кодекса Российской Федерации, статей 71 и 100 Федерального закона от 26.10.2002 № 127-ФЗ «О несостоятельности (банкротстве)», пришёл к выводу об отсутствии оснований для включения требования заявителя в реестр ввиду недоказанности реальности отношений, положенных в основу требований компании к должнику.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компании «Аврора Секьюритиз Лимитед»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