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задолженности в размере 87 495 477 рублей 76 копеек. Определением Арбитражного суда города Москвы от 13.07.2020, оставленным без изменения постановлениями Девятого арбитражного апелляционного суда от 23.11.2020 и Арбитражного суда Московского округа от 11.02.2021,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 и 100 Федерального закона от 26.10.2002 № 127-ФЗ «О несостоятельности (банкротстве)», пришли к выводу об отсутствии оснований для включения требования заявителя в реестр ввиду недоказанности реальности отношений, положенных в основу требований общества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«Ягр»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