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решением Арбитражного суда Пермского края от 18.03.2019 должник признан несостоятельным (банкротом), открыто конкурсное производство, конкурсным управляющим утверждён ФИО2 Определением Арбитражного суда Пермского края от 17.01.2020 признаны погашенными требования ФНС России, включённые в реестр требований кредиторов должника. Определением Арбитражного суда Пермского края от 05.02.2020 производство по делу о банкротстве должника прекращено. Впоследствии ФИО2 обратился в суд с заявлением о пересмотре по вновь открывшимся обстоятельствам вышеуказанного определения суда первой инстанции от 17.01.2020. Определением Арбитражного суда Пермского края от 14.07.2020, оставленным без изменения постановлениями Семнадцатого арбитражного апелляционного суда от 24.09.2020 и Арбитражного суда Уральского округа от 10.02.2021, заявление оставлено без удовлетворения. В кассационной жалобе, поданной в Верховный Суд Российской Федерации, заявитель просит отменить указанные судебные акты в части, принять новый судебный акт об удовлетворении заявления.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Признавая отсутствие оснований для удовлетворения заявления о пересмотре судебного акта по вновь открывшимся обстоятельствам, суды, руководствуясь положениями статей 309 и 311 Арбитражного процессуального кодекса Российской Федерации, пришли к выводу о том, что указанные заявителем обстоятельства не могут являться основанием для пересмотра судебного акта, указав, что действия ФИО2 по пересмотру не направлены на защиту чьих-либо правомерных интересов.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Федеральной налоговой службы по Индустриальному району г. Перми (подробнее) Ответчики: ООО "И.В.А.Н." (подробнее) Иные лица: АО "ПЕРМИНЖСЕЛЬСТРОЙ" (подробнее) Индустриальный районный суд г. Перми (подробнее) МИФНС России №17 по ПК (подробнее) ООО Учредителям участникам "И.В.А.Н" (подробнее) Росреестр по ПК (подробнее) СОЮЗ "СРО АУ "Стратегия"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