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Лазуткин Денис Владимирович обратился в суд с заявлением об обязании бывшего руководителя должника Федюнина Д.В. передать бухгалтерскую и первичную документацию, материальные и иные ценности должника. Определением Арбитражного суда Московской области от 08.11.2019, оставленным без изменения постановлениями Десятого арбитражного апелляционного суда от 17.11.2020 и Арбитражного суда Московского округа от 15.02.2021, Федюнин Д.В. обязан передать конкурсному управляющему должника все сведения о составе и размере дебиторской задолженности перед должником, первичную документацию, подтверждающую возникновение и размер дебиторской задолженности, информация о которой отражена в бухгалтерском балансе по состоянию на 31.12.2017 (1 619 989 000 рублей), а также все сведения о составе и размере финансовых вложений должника, информация о которых отражена в бухгалтерском балансе по состоянию на 31.12.2017 (613 409 000 рублей).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Московской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126 Федерального закона от 26.10.2002 № 127-ФЗ «О несостоятельности (банкротстве)», исходили из обоснованности заявления ввиду отсутствия надлежащих доказательств исполнения Федюниным Д.В. своей обязанности по передаче документации общества. Обжалуемые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Федюнину Дмитрию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