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«Облснаб» обратилось в Арбитражный суд Кировской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«Планета 3» 430 000 рублей задолженности, 7 200 рублей расходов, понесенных в связи с проведением экспертизы качества поставленного товара, и 302 000 рублей расходов, понесенных в связи с хранением товара. Решением Арбитражного суда Кировской области от 28.06.2020 в удовлетворении иска отказано. Постановлением Второго арбитражного апелляционного суда от 29.09.2020 решение суда первой инстанции оставлено без изменения. Арбитражный суд Волго-Вятского округа постановлением от 08.02.2021 указанные судебные акты оставил без изменения. Общество с ограниченной ответственностью «Облснаб» обратилось в Судебную коллегию Верховного Суда Российской Федерации с кассационной 2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доставка товара производилась истцом (покупателем) самовывозом, товар находился на складе истца, в обязанность которого входило обеспечение сохранности товара, учитывая отсутствие доказательств надлежащего хранения истцом товара с момента его получения до отбора лабораторных проб, руководствуясь положениями статей 309, 310, 469, 470, 475, 476, 506 Гражданского кодекса Российской Федерации, суды пришли к выводу о недоказанности факта поставки истцу товара ненадлежащего качества и об отсутствии оснований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«Облснаб»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