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Ленинского районного суда г. Саратова от 25.12.2019 жалоба общества на оспариваемые постановление и предписание возвращена заявителю. Решением Арбитражного суда Саратовской области от 04.08.2020, оставленным без изменения постановлением Двенадцатого арбитражного апелляционного суда от 16.10.2020, в удовлетворении заявленных требований отказано. Постановлением Арбитражного суда Поволжского округа от 10.02.2021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судом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вынесения оспариваемых постановления и предписания послужили выявленные административным органом факты, свидетельствующие о том, что обществом не обеспечена пожарная безопасность эксплуатируемого здания в полном объеме. Частью 1 статьи 20.4 Кодекса Российской Федерации об административных правонарушениях предусмотрена ответственность за нарушение требований пожарной безопасности, за исключением случаев, предусмотренных статьями 8.32 и 11.16 настоящего Кодекса и частями 6, 6.1 и 7 настоящей статьи. Оценив представленные доказательства, руководствуясь положениями статей 4, 6, 53, 62, 64, 89 Федерального закона от 22.07.2008 № 123-ФЗ «Технический регламент о требованиях пожарной безопасности», статьи 38 3 Федерального закона от 21.12.1994 №69-ФЗ «О пожарной безопасности», Правил противопожарного режима в Российской Федерации, утвержденных постановлением Правительства Российской Федерации от 25.04.2012 № 390 «О требованиях пожарной безопасности», суды пришли к выводу о нарушении обществом требований пожарной безопасности, выразившемся в непроведении мероприятий по обеспечению пожарной безопасности эксплуатируемого здания и по предотвращению угрозы возникновения пожара, признав наличии в действиях общества состава правонарушения, ответственность за совершение которого предусмотрена частью 1 статьи 20.4 Кодекса Российской Федерации об административных правонарушениях и законность требований предписания. Обществом не были приняты все зависящие от него меры к обеспечению пожарной безопасности здания, вина общества в совершении вмененного правонарушения доказана. Срок давности привлечения к ответственности соблюден, оснований для применения положений статьи 2.9 Кодекса Российской Федерации об административных правонарушениях не выявлено. Доводы, изложенные в жалобе, приводились при рассмотрении дела, получили надлежащую правовую оценку с учетом того, что для обеспечения пожарной безопасности объекта защиты общество обязано в полном объеме выполнить требования, установленные техническим регламентом и нормативными документами по пожарной безопасности. Указанные выводы судов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