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06.09.2020, оставленным без изменения постановлением Четырнадцатого арбитражного апелляционного суда от 13.11.2020 и постановлением Арбитражного суда Северо-Западного округа от 11.02.2021, иск удовлетворен частично. В кассационной жалобе Балдичев А.Н. просит об отмене судебных актов, ссылаясь на отсутствие между сторонами отношений по перевозке.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между сторонами правоотношений по перевозке, в процессе которой утрачен груз, суды признали исходя из установленных в рассматриваемом деле и деле № А56-32485/2019 обстоятельств, поэтому удовлетворили иск в соответствии со статьями 15, 393, 785, 796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Балдичеву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