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31.07.2020, оставленным без изменения постановлением Тринадцатого арбитражного апелляционного суда от 17.11.2020 и постановлением Арбитражного суда Северо-Западного округа от 18.03.2021, иск удовлетворен. В кассационной жалобе завод просит о пересмотре судебных актов, ссылаясь на неосновательное взыскание неустойки по прекращенному обязательству, неправильное применение преюдиции, игнорирование злоупотребления истцом правом.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ненадлежащее исполнение заводом обязательства по поставке признано в деле № А56-15667/2018 и не может быть проигнорировано в рассматриваемом деле. Обстоятельства, составляющие условия для взыскания договорной неустойки, установлены судами в соответствии с компетенцией и не подлежат пересмотру в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«Северский кабельный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