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26.08.2020, оставленным без изменения постановлением Шестого арбитражного апелляционного суда от 30.10.2020 и постановлением Арбитражного суда Дальневосточного округа от 09.02.2021, исковые требования удовлетворены. В кассационной жалобе предприниматель просит о пересмотре судебных актов, ссылаясь на непринятие доказательств погашения долга и несоразмерность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330, 486, 506, 516 Гражданского кодекса Российской Федерации, суды удовлетворили иск по установленным фактам поставки обществом (поставщиком) товара в рамках договора поставки от 06.03.2019 № 1116/03/2019 и неполной оплаты его предпринимателем (покупателем). Доказательств наличия иного размера долга на день принятия решения апелляционный и окружной суды не установили. Апелляционный и окружной суды правильно указали, что вопрос об уменьшении неустойки не подлежал разрешению в связи с отсутствием сделанного в положенный срок заявления об этом.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Аллахвердяну Ивану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