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уполномоченный орган обратился в суд с заявлением о разрешении разногласий по очерёдности удовлетворения текущих платежей, в котором просит определить погашение задолженности по обязательным платежам, возникшие в результате продолжения хозяйственной деятельности должника на общую сумму 424 786 397 рублей 05 копеек в порядке пункта 6 статьи 138 Федерального закона от 26.10.2002 № 127-ФЗ «О несостоятельности (банкротстве)» (далее – Закон о банкротстве). Определением Арбитражного суда Ростовской области от 21.09.2020, оставленным без изменения постановлениями Пятнадцатого арбитражного апелляционного суда от 12.11.2020 и Арбитражного суда Северо-Кавказского округа от 02.02.2021,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дело направить на новое рассмотрение в суд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2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судами. 21.04.2021 материалы дела истребованы из Арбитражного суда Ростовской области. При изучении доводов кассационной жалобы по материалам истребованного дела, поступившего в Верховный Суд Российской Федерации 18.05.2021,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Ростовской области от 26.04.2019 должник признан несостоятельным (банкротом), открыто конкурсное производство, конкурсным управляющим утверждён Шадрин А.В. Комитетом и собранием кредиторов должника принимались решения о продолжении хозяйственной деятельности последнего за счёт исполнения договора о переработке давальческого сырья. Данные решения принимались непосредственно мажоритарным кредитором должника – публичным акционерным обществом «Банк Траст» (далее – банк), в залоге у которого находится основной производственный комплекс должника. Уполномоченный оран неоднократно выражал своё несогласие с продлением хозяйственной деятельности должника, ссылаясь на её убыточность, путём заявления требований конкурному управляющему, инициализации обособленных споров в рамках настоящего дела, в том числе об оспаривании решений собрания кредиторов от 27.06.2019 и расторжении договора от 09.04.2019 № 8/19. Отказывая в удовлетворении требований уполномоченного органа, суды исходили из направленности продолжения хозяйственной деятельности на социально-экономические цели (сохранение рабочих мест), сохранность имущества должника, обеспечение возможности его реализации единым лотом. Кроме того, в рамках отдельного обособленного спора суды разрешили отступить от очерёдности, предусмотренной в пункте 2 статьи 134 Закона о банкротстве, и осуществлять оплату по договорам поставки энергоресурсов в составе четвёртой очереди текущих платежей до прекращения должником хозяйственной деятельности. Сообщением на сайте ЕФРСБ от 28.02.2020 № 4758070 опубликованы результаты торгов, согласно которым реализовано основное имущество должника (завод, транспортные средства) за 6 531 562 026 рублей 85 копеек (из которых стоимость имущества, не обремененного залогом – 2 468 100 447 рублей 90 копеек), общая стоимость нереализованного имущества составила 121 889 296 рублей 15 копеек. 3 В результате продолжения должником хозяйственной деятельности основной производственный комплекс (завод) реализован в 1,3 раза выше рыночной стоимости имущества, что делает банк выгодоприобретателем от продолжения деятельности, поскольку её результатом стало сохранение залогового имущества в наиболее ликвидном состоянии. Вместе с тем, в результате продолжения должником хозяйственной деятельности возникла текущая задолженность по обязательным платежам в размере 424 786 397 рублей 05 копеек, из которых НДС – 326 163 849 рублей 10 копеек, ФФОМС – 59 036 208 рублей 09 копеек, ФСС – 28 418 426 рублей 90 копеек, ПФР – 8 374 481 рубль 16 копеек. В связи с реализацией незалогового имущества на общую сумму 2 468 100 447 рублей 90 копеек и наличием текущей задолженности в размере 4 198 188 879 рублей 57 копеек, требования уполномоченного органа по обязательным платежам возможны к погашению только в части. Уполномоченный орган направил в адрес конкурсного управляющего требование от 01.06.2020 № 16-16/2449 о распределении денежных средств, поступивших от реализации предмета залога, в счёт погашения текущей задолженности по обязательным платежам, возникшей в результате продолжения хозяйственной деятельности. Ответом от 10.06.2020 конкурсный управляющий сообщил об отказе в удовлетворении требования уполномоченного органа в силу того, что обязательные платежи, возникшие в результате хозяйственной деятельности, не направлены на сохранение предмета залога. Полагая, что в результате продолжения хозяйственной деятельности в ходе процедуры конкурсного производства, мажоритарный кредитор получил максимальное удовлетворение требований за счёт сохранения предмета залога в ликвидном состоянии в ущерб бюджету Российской Федерации, так как в результате продолжения убыточной хозяйственной деятельности текущая задолженность по обязательным платежам увеличена на 424 786 397 рублей 05 копеек и, как следствие, невозможна к погашению, уполномоченный орган обратился с настоящим заявлением о разрешении разногласий по очерёдности удовлетворения текущих платежей, в котором просит определить погашение задолженности по обязательным платежам, возникшие в результате продолжения хозяйственной деятельности должника на вышеуказанную сумму в порядке пункта 6 статьи 138 Закона о банкротстве. Разрешая спор, суды исходили из того, что реестровое требование залоговых кредиторов является приоритетным перед требованием об уплате налогов и взносов, в связи с чем уплата обязательных платежей из средств, размещённых на залоговом счёте, будет противоречить установленным правилам очерёдности удовлетворения требований кредиторов, а денежные средства, вырученные от реализации залогового имущества, не представляют отдельную налогооблагаемую базу и, как следствие, не подлежат распределению в предлагаемом уполномоченным органом порядке; обратное, по мнению судов, привело бы к нарушению законных прав залогового кредитора – приоритета в удовлетворении его требований. 4 В своих выводах суды руководствовались положениями пункта 2 статьи 334 Гражданского кодекса Российской Федерации, статей 134 и 138 Закона о банкротстве, позицией, изложенной в пункте 1 постановления Пленума Высшего Арбитражного Суда Российской Федерации от 25.01.2013 № 11 «Об уплате налога на добавленную стоимость при реализации имущества должника, признанного банкротом», пункте 6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20.12.2016. Выражая несогласие с выводами судов, уполномоченный орган, ссылаясь на неразрывную связь начисленных налогов с продолжением эксплуатации залогового имущества, а также на недопустимость реализации залоговых прав за счёт ущемления прав и законных интересов иных кредиторов должника, настаивает на том, что в первоочередном порядке в режиме, установленном пунктом 6 статьи 138 Закона о банкротстве, наряду с расходами на обеспечение сохранности предмета залога должны погашаться текущие налоговые платежи, связанные с залоговым имуществом. Уполномоченный орган полагает, что в случае распределения денежных средств в пользу залогового кредитора до погашения текущих налоговых обязательств между правами залогового кредитора и прочих кредиторов возникнет дисбаланс: текущая задолженность по налогам будет начисляться и накапливаться на залоговом имуществе должника, а её погашение будет производиться за счёт иных активов последнего. Модель, при которой залоговый кредитор получает выгоду от имущества в полном объеме, а расходы, возникшие в результате продолжения хозяйственной деятельности, направленной на сохранение залогового имущества, перекладываются на иные активы должника в ущерб интересам его кредиторов и налоговой службы, явно не соответствует принципам добросовестности. В подтверждение своих доводов заявитель сослался, в том числе, на правовую позицию, изложенную в определении Верховного Суда Российской Федерации от 19.10.2020 № 305-ЭС20-10152 по делу № А40-46117/2019, вошедшую в Обзор судебной практики Верховного Суда Российской Федерации № 4 (2020), утвержденный Президиумом Верховного Суда Российской Федерации 23.12.2020 (пункт 11).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налоговой службы по Ростовской области с делом передать для рассмотрения в судебном 5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 июля 2021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