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24.08.2020, оставленным без изменения постановлением Девятого арбитражного апелляционного суда от 28.10.2020, в удовлетворении требования отказано. Постановлением Арбитражного суда Московского округа от 08.02.2021 указанные судебные акты оставлены без изменения. Предприятие просит обжалуемые судебные акты отменить, ссылаясь на допущенные, по его мнению, существенные нарушения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52, 53 Градостроительного кодекса Российской Федерации, Федерального закона от 30.12.2009 № 384-ФЗ «Технический регламент о безопасности зданий и сооружений», суды пришли к выводу о наличии в действиях предприятия составов вмененных административных правонарушений, признав предприятие специальным субъектом, привлеченным заказчиком (застройщиком) по договору для осуществления строительного контроля. Судами проверены процедура и срок давности привлечения к административной ответственности, наказание в виде штрафа назначено в пределах санкций норм. Доводы жалобы были предметом исследования судов и получили исчерпывающую правовую оценку, не согласиться с которой, исходя из доводов жалобы, оснований не имеется. 3 Ссылка на признание незаконным и отмене вынесенного в отношении должностного лица предприятия постановления не может служить основанием для отмены судебных актов, поскольку по приведенному делу должностному лицу вменялось иное деяние, и суды пришли к выводу об отсутствии доказательств возложения на указанное должностное лицо предприятия обязанностей, за неисполнение которых он привлечен к ответственности.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