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19.06.2020, оставленным без изменения постановлением Девятого арбитражного апелляционного суда от 16.10.2020 и постановлением Арбитражного суда Московского округа от 08.02.2021, в удовлетворении иска отказано. В кассационной жалобе общество «Русский лес» просит о пересмотре судебных актов, ссылаясь на обязанность возврата денежных средств в качестве последствия расторжения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Исходя из установленных в данном деле и ранее рассмотренном деле № А40-107086/2018 обстоятельств, суды признали спорную сумму полученной во исполнение договора уступки прав (требований) от 03.10.2017 № 1Т/2017 и удержанной в соответствии с условиями договора, поэтому не отвечающей признакам неосновательного обогащения и не подлежащей возврату после прекращения договора. Приведенные в рассматриваемой жалобе доводы тождественны доводам, заявленным в апелляционном и окружном судах и получившим правовую оценку.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«Русский 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