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10.08.2020, оставленным без изменения постановлением Десятого арбитражного апелляционного суда от 20.10.2020, в иске отказано. 2 Постановлением Арбитражного суда Московского округа от 09.02.2021 указанные судебные акты оставлены без изменения. Пенсионный фонд просит принятые по делу судебные акты отменить, считая их незаконными и необоснованными.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15, 1064 Гражданского кодекса Российской Федерации, статьи 11 Федерального закона от 01.04.1996 № 27-ФЗ «Об индивидуальном (персонифицированном) учете в системе обязательного пенсионного страхования в Российской Федерации», Федерального закона от 28.12.2013 № 400-ФЗ «О страховых пенсиях», суды отказали в иске, признав недоказанным наличие причинно-следственной связи между действиями ответчика по предоставлению сведений и возникшими убытками. Доводы пенсионного фонда были предметом оценки судов и отклонены исходя из установленных обстоятельств, свидетельствующих об осведомленности пенсионного фонда на момент вынесения решения об индексации пенсии относительно непрерывного осуществления застрахованным лицом оплачиваемой трудовой деятельности, не согласиться с которой по доводам жалобы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Учитывая изложенное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