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02.07.2020 иск удовлетворен. Постановлением Девятого арбитражного апелляционного суда от 19.10.2020, оставленным без изменения постановлением Арбитражного суда Московского округа от 10.02.2021, решение отменено, в удовлетворении иска отказано. В кассационной жалобе общество «Группа компаний «Альтаир» просит об отмене судебных актов апелляционного и окружного судов, ссылаясь на ненадлежащую оценку его доводов и доказательств, игнорирование признания ответчиком долга.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суд установил несоответствие выводов суда первой инстанции об обстоятельствах исполнения договора от 15.05.2015 № К-15/1152/1 представленным доказательствам, указав на отсутствие согласованного договором документального оформления сдачи-приемки услуг, влекущего их оплату, поэтому отменил решение в пределах имеющейся компетенции. Вопросы доказывания и оценки доказательств, на которых основаны доводы жалобы, не отвечают критериям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«Группа компаний «Альтаир»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