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29.07.2020, оставленным без изменения постановлением Восемнадцатого арбитражного апелляционного суда от 21.10.2020 и постановлением Арбитражного суда Уральского округа от 03.02.2021, первоначальный и встречный иски удовлетворены частично. В результате зачета взысканных сумм с общества «Альфаторг ДВ» в пользу общества «Макфа» взыскано 1 248 527 рублей 12 копеек неустойки. В кассационной жалобе общество «Альфаторг ДВ» просит о пересмотре судебных актов, ссылаясь на неправильный период начисления и нарушение правил уменьшения неустойки по первоначальному иску.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 и влияющие на ее размер, устанавливаются судами, рассматривающими дело по правилам для суда первой инстанции. Взысканная по первоначальному иску неустойка соответствует обстоятельствам исполнения договора № 11/18-01.01 от 06.02.2019 и примененным к ним статьям 330, 333, 469, 475, 506, 516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«Альфаторг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