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12.10.2020 иск удовлетворен. Постановлением Девятого арбитражного апелляционного суда от 24.11.2020, решение отменено, в иске отказано. Постановлением Арбитражного суда Московского округа от 17.02.2021 постановление апелляционного суда оставлено без изменения. В кассационной жалобе завод просит об отмене судебных актов апелляционного и окружного судов, ссылаясь на отсутствие доказательств несения ответчиком расходов в связи с исполнением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Признав доказанным несение ответчиком расходов для исполнения обязательства до отказа истца от договора, суды применили последствие, предусмотренное пунктом 1 статьи 782 Гражданского кодекса Российской Федерации. Вопросы доказывания и оценки доказательств, на которых основаны доводы жалобы, не отвечают критериям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«Ардатовский светотехнический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