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Иркутской области от 29.10.2019, оставленным без изменения постановлением Четвертого арбитражного апелляционного суда от 23.12.2019 и постановлением Арбитражного суда Восточно-Сибирского округа от 05.06.2020, в удовлетворении заявления ФИО1 отказано по мотиву непредставления обоснования возможного возникновения последствий, указанных в пункте 2 статьи 90 Арбитражного процессуального кодекса Российской Федерации. В кассационной жалобе ФИО1 просит о пересмотре судебных актов, ссылаясь на несоответствие их выводов фактическим обстоятельствам.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Заявление об обеспечении иска в силу пункта 5 части 2 статьи 92 Арбитражного процессуального кодекса Российской Федерации должно быть аргументировано. Отказывая в удовлетворении заявления, суды исходили из того, что наличие задолженности ответчика само по себе не может рассматриваться в качестве достаточного обоснования невозможного исполнении судебных актов в случае непринятия испрашиваемых обеспечительных мер. Оснований для вмешательства в компетенцию судов на оценку обоснованности требуемых мер на стадии кассационного производства не имеется.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Иные лица: Арбитражный суд Иркутской области (подробнее) Четвертый Арбитражный Апелляционный суд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