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Тамбовской области от 15.06.2020, оставленным без изменения постановлением Девятнадцатого арбитражного апелляционного суда от 15.10.2020, в иске отказано. 2 Постановлением Арбитражного суда Центрального округа от 10.02.2021 указанные судебные акты оставлены без изменения. Пенсионный фонд просит принятые по делу судебные акты отменить,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1064 Гражданского кодекса Российской Федерации, статьи 11 Федерального закона от 01.04.1996 № 27-ФЗ «Об индивидуальном (персонифицированном) учете в системе обязательного пенсионного страхования в Российской Федерации», Федерального закона от 28.12.2013 № 400-ФЗ «О страховых пенсиях», суды отказали в иске, признав недоказанным наличие причинно-следственной связи между действиями ответчика по предоставлению сведений и возникшими убытками. Доводы пенсионного фонда были предметом оценки судов и отклонены исходя из установленных обстоятельств, свидетельствующих об осведомленности пенсионного фонда на момент вынесения решения об индексации пенсии относительно непрерывного осуществления застрахованным лицом оплачиваемой трудовой деятельности,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