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08.06.2020, оставленным без изменения постановлением Тринадцатого арбитражного апелляционного суда от 01.10.2020, в удовлетворении первоначального иска отказано, по встречному иску взыскано 2 600 490 рублей неосновательного обогащения. Арбитражный суд Северо-Западного округа постановлением от 04.02.2021 решение от 08.06.2020 и постановление Тринадцатого арбитражного апелляционного суда от 01.10.2020 оставил без изменения. В кассационной жалобе общество «Башкирский клуб кредиторов» просит об отмене судебных актов, ссылаясь на нерассмотрение судом первой инстанции его заявления о фальсификации доказательств.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отсутствие доводов в отношении материально-правового содержания судебных актов довод о процессуальных действиях суда первой инстанции, обсужденный апелляционным и окружным судами, не отвечает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«Башкирский клуб кредиторов»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