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26.08.2020, оставленным без изменения постановлением Девятого арбитражного апелляционного суда от 19.11.2020, иск удовлетворен. Арбитражный суд Московского округа постановлением от 03.03.2021 решение от 26.08.2020 и постановление Девятого арбитражного апелляционного суда от 19.11.2020 оставил без изменения. В кассационной жалобе компания просит об отмене судебных актов, ссылаясь на нарушение права на доказывание.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65 Арбитражного процессуального кодекса Российской Федерации на ответчике лежит обязанность доказывания доводов и возражений. Суды признали недоказанными возражения компании в отношении требуемой суммы убытков, поэтому удовлетворили иск.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«ПАРИ»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