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16.07.2020, оставленным без изменения постановлением Одиннадцатого арбитражного апелляционного суда от 21.10.2020, взыскано 850 000 000 рублей задолженности по кредитным договорам, 13 702 185 рублей 79 копеек процентов и 372 764 398 рублей 16 копеек пеней. Арбитражный суд Поволжского округа постановлением от 11.03.2021 решение от 16.07.2020 и постановление Одиннадцатого арбитражного апелляционного суда от 21.10.2020 оставил без изменения. 2 В кассационной жалобе акционерное общество «Тимер Банк» просит об отмене судебных актов, ссылаясь на отсутствие вины в нарушении обязательства, неверное определение периода начисления неустойки и недостаточное ее снижение судами.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Вина не является основанием ответственности за неисполнение обязательства при осуществлении предпринимательской деятельности (пункт 3 статьи 401 Гражданского кодекса Российской Федерации). Установление обстоятельств, влияющих на размер неустойки (статья 333 Гражданского кодекса Российской Федерации) в пределах данного дела, является компетенцией судов, рассматривающих дело по правилам для суда первой инстанции, и связанный с этими обстоятельствами довод заявителя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«Тимер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