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31.08.2020, оставленным без изменения постановлением Девятого арбитражного апелляционного суда от 12.11.2020 и постановлением Арбитражного суда Московского округа от 04.02.2021, в удовлетворении иска отказано. В кассационной жалобе ассоциация просит об отмене судебных актов, ссылаясь на незаконное удержание комиссии банком в свою пользу.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Судами установлено, что удержанная комиссия предусмотрена договором о расчетно-кассовом обслуживании от 10.12.2015 и действующими Тарифами банка, которые и явились гражданско-правовым основанием применения ее при проведении операции по перечислению денежных средств ассоциации по указанным ею реквизитам. Правомочия банка на оценку характера проводимых ассоциацией операций основаны на нормах Федерального закона от 07.08.2001 № 115-ФЗ «О противодействии легализации (отмыванию) доходов, полученных преступным путем, и финансированию терроризм», нормативных актах Банка России и внутренних правилах банка. В такой ситуации удержанная банком комиссия правомерно признана судами не обладающей признаками неосновательного обогащения.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Ассоциации независимых арбитров и медиаторов альтернативного урегулирования споров «За и Против»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