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податель жалобы просит об отсрочке уплаты государственной пошлины, представляя справку обслуживающего банка о наличии картотеки к счету, принадлежность которого подтверждает сведениями налогового органа. Согласно статье 102 Арбитражного процессуального кодекса Российской Федерации и пункту 2 статьи 333.22 Налогового кодекса Российской предоставление отсрочки уплаты государственной пошлины производится арбитражным судом исходя из имущественного положения плательщика. Суд счел ходатайство подлежащим удовлетворению. Руководствуясь статьей 184 Арбитражного процессуального кодекса Российской Федерации, статьей 333.22 Налогового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предоставить обществу с ограниченной ответственностью «Мичуринское» отсрочку уплаты государственной пошлины до окончания производства по поданной им кассационной жалобе. Судья Верховного Суда Российской Федерации Н.А. Ксенофонтова Суд: Верховный Суд РФ (подробнее) Истцы: АО "Объединенная страховая компания" (подробнее) Ответчики: ООО "Мичуринское" (подробнее) Судьи дела: Ксенофонтова 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