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10.07.2020, оставленным без изменения постановлением Двенадцатого арбитражного апелляционного суда от 25.09.2020, иск удовлетворен. Арбитражный суд Поволжского округа постановлением от 02.02.2021 решение от 10.07.2020 и постановление Двенадцатого арбитражного апелляционного суда от 25.09.2020 оставил без изменения. В кассационной жалобе банк просит об отмене судебных актов, ссылаясь на противоречие закону и договору безвозмездного пользования услугой банка.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Оценив содержание условий договора банковского счета от 18.06.1999 № 1582 и действующих в банке Тарифов, суды установили, что удержание комиссии за перевод денежных средств между ведущимися в одном подразделении банка счетами предпринимателя и его же как физического лица не производится, поэтому, руководствуясь статьями 431, 845, 846, 848, 1102 Гражданского кодекса Российской Федерации, в рассматриваемом случае такого удержания признали спорную сумму подлежащей возврату. Иное толкование банком условий обслуживания счетов истца не отвечает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«Промсвязьбанк»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