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07.08.2020 № 287 в сумме 6000 рублей за подачу надзорной жалобы в Верховный Суд Российской Федерации по делу № А40-219798/2019,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2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госпошлины,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3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«Региональный центр пружинного производства «Квалитет» о зачете государственной пошлины за подачу кассационной жалобы на решение Арбитражного суда города Москвы от 21.08.2020 по делу № А40-338332/2019, постановление Девятого арбитражного апелляционного суда от 10.12.2020 и постановление Арбитражного суда Московского округа от 31.03.2021 по тому же делу. Жалобу общества с ограниченной ответственностью «Региональный центр пружинного производства «Квалитет»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