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14.10.2020 заявленное требование удовлетворено. Постановлением Арбитражного суда Северо-Кавказского округа от 26.03.2021 решение суда первой инстанции отменено, дело направлено на новое рассмотрение в Арбитражный суд Ростовской области. Предприниматель обратился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решение суда первой инстанции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необходимость выяснения последствий изменения даты и времени, установленных для дачи объяснений, составления протоколов и рассмотрения дел об административных правонарушениях, в целях обеспечения предпринимателю возможности воспользоваться правами, предусмотренными статьей 28.2 Кодекса Российской Федерации об административных правонарушениях.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3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дела,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