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«Урал-Фактор» обратилось в Арбитражный суд города Москвы с иском о взыскании с общества с ограниченной ответственностью «П-Инвест» 7 633 455 рублей 60 копеек задолженности по договору поставки от 09.02.2018 № 9/18 и 721 376 рублей 26 копеек неустойки, с последующим начислением неустойки в размере 0,1% за каждый день просрочки начиная с 12.02.2020 по день фактической уплаты долга. Решением Арбитражного суда города Москвы от 25.08.2020 в удовлетворении иска отказано. Постановлением Девятого арбитражного апелляционного суда от 25.11.2020 решение суда первой инстанции оставлено без изменения. Арбитражный суд Московского округа постановлением от 10.03.2021 указанные судебные акты оставил без изменения. Общество с ограниченной ответственностью «Урал-Фактор» обратилось в Судебную коллегию по экономическим спорам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в их совокупности и взаимной связи по правилам статей 65, 68, 71 Арбитражного процессуального кодекса Российской Федерации и сделали вывод об отсутствии надлежащих доказательств, подтверждающих поставку (передачу) товара ответчику.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«Урал-Фактор»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