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28.02.2020 первоначальный иск удовлетворен, в удовлетворении встречного иска отказано. Постановлением Девятого арбитражного апелляционного суда от 15.10.2020, оставленным без изменения постановлением Арбитражного суда Московского округа от 03.02.2021, обжалованное в части первоначального иска решение отменено и в удовлетворении первоначального иска отказано; в остальной части решение оставлено без изменения. В кассационной жалобе учреждение просит об отмене судебных актов апелляционного и окружного судов, ссылаясь на неосновательное ограничение гарантированных выплат. 2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Компетентно применив правило статьи 431 Гражданского кодекса Российской Федерации, апелляционный суд установил, что гарантия обеспечивает возмещение убытков при наступлении условий ответственности в случае неисполнения или ненадлежащего исполнения обязательства. Указанное обстоятельство означает, что требуемая с банка сумма должна отвечать признакам, предусмотренным статьями 15, 393 Гражданского кодекса Российской Федерации, и может быть получена при доказанных учреждением условиях для применения ответственности вследствие ненадлежащего исполнения обязательства. Апелляционный суд правомерно признал сумму неотработанного аванса не отвечающей признакам ответственности.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государственному казенному учреждению Республики Крым «Инвестиционно-строительное управление Республики Крым»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