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16.07.2020, оставленным без изменения постановлением Семнадцатого арбитражного апелляционного суда от 22.10.2020, в удовлетворении иска отказано. Арбитражный суд Уральского округа постановлением от 04.02.2021 решение от 16.07.2020 и постановление Семнадцатого арбитражного апелляционного суда от 22.10.2020 оставил без изменения. В кассационной жалобе предприниматель просит об отмене судебных актов, ссылаясь на порочность положенного в их основу судебного акта суда общей юрисдикции и неосновательное применение статьи 10 Гражданского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судьба компенсационной выплаты в связи с заявленным событием разрешена по иску потерпевшего судом общей юрисдикции, являющегося обязательным для правопреемника (предпринимателя), игнорирование которым судебного акта посредством предъявления рассматриваемого иска находится за пределами осуществления гражданских прав. Основанная на статье 10 Гражданского кодекса Российской Федерации компетенция суда на применение предусмотренных этой нормой последствий нарушения пределов осуществления гражданских прав не пересматривается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Носыреву А.А.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