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«Первая грузовая компания» (арендодатель)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«ТЭК-СВ» (арендатора) 14 429 100 рублей арендной платы за пользование железнодорожными вагонами, 990 091 рубля 96 копеек неустойки, с начислением неустойки на сумму задолженности в размере 0,03% за каждый день просрочки с 05.06.2020 по дату фактической оплаты долга. Решением Арбитражного суда города Москвы от 10.07.2020 иск удовлетворен. Постановлением Девятого арбитражного апелляционного суда от 10.11.2020 решение суда первой инстанции оставлено без изменения. Арбитражный суд Московского округа постановлением от 02.03.2021 указанные судебные акты оставил без изменения. 2 Публичное акционерное общество «Первая грузовая компания» обратилось в Судебную коллегию по экономическим спорам Верховного Суда Российской Федерации с кассационной жалобой на выводы, содержащиеся в мотивировочной части принятых по делу судебных актов,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арендатором обязанность по своевременному внесению платежей за пользование имуществом (железнодорожными вагонами) исполнялась ненадлежащим образом, что привело к образованию задолженности, руководствуясь положениями статей 309, 310, 329, 330, 614 Гражданского кодекса Российской Федерации, суды сделали вывод о наличии оснований для удовлетворения иска. При этом суды указали, что в соответствии с положениями статей 433, 438 Гражданского кодекса Российской Федерации проект дополнительного соглашения № 6 к договору аренды, направленный истцом ответчику 21.11.2019, не является акцептом сделанной ответчиком оферты, а является новой офертой. Несогласие заявителя кассационной жалобы с выводами судов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3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«Первая грузовая компания»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