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26.06.2020, оставленным без изменения постановлением Четырнадцатого арбитражного апелляционного суда от 06.10.2020 и постановлением Арбитражного суда Северо-Западного округа от 02.02.2021, иск удовлетворен. В кассационной жалобе общество «Апатит» просит об отмене судебных актов, ссылаясь на отсутствие между сторонами правоотношений по хранению, принятие ненадлежащих доказательств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признал доказанным фактическое оказание услуг хранения, поэтому удовлетворил иск в соответствии со статьями 395, 424, 896, 899 Гражданского кодекса Российской Федерации.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«Апатит»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