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12.10.2020, оставленным без изменения постановлением Тринадцатого арбитражного апелляционного суда от 22.12.2020 и постановлением Арбитражного суда Северо-Западного округа от 15.03.2021, в удовлетворении иска отказано. В кассационной жалобе предприниматель просит о пересмотре судебных актов, ссылаясь на неисследование обстоятельств дела и неправомерное признание его злоупотребившим правом.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оплатило фактически оказанные по договору от 31.08.2016 № 17-3П/2016 услуги и заявленное требование нарушает пределы осуществления гражданских прав. Компетенция судов на применение последствий, предусмотренных статьей 10 Гражданского кодекса Российской Федерации, не подлежит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Соболеву Владимиру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