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09.06.2020, оставленным без изменения постановлением Девятого арбитражного апелляционного суда от 07.10.2020, иск удовлетворен. Арбитражный суд Московского округа постановлением от 02.02.2021 решение от 09.06.2020 и постановление Девятого арбитражного апелляционного суда от 07.10.2020 оставил без изменения. В кассационной жалобе банк просит об отмене судебных актов, ссылаясь на несоответствие их обстоятельствам дела и судебной практике.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о платеже по банковской гарантии от 09.04.2019 № 19777-447-347815 предъявлено в пределах срока действия гарантии и с приложением поименованных в ней документов, раскрывающих содержание требуемой суммы и указывающих на ее размер, что правомерно оценено судами как не позволявшее в силу статей 375, 376 Гражданского кодекса Российской Федерации банку отказать в совершении платежа. Несоответствия судебных актов обстоятельствам дела и судебной практике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