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24.08.2020, оставленным без изменения постановлением Девятого арбитражного апелляционного суда от 19.10.2020, взыскано 19 734 035 рублей 65 копеек убытков. Арбитражный суд Московского округа постановлением от 10.02.2021 решение от 24.08.2020 и постановление Девятого арбитражного апелляционного суда от 19.10.2020 оставил без изменения В кассационной жалобе банк просит об отмене судебных актов, ссылаясь на отсутствие законных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заявленная сумма является ответственностью банка за собственное нарушение, состоящее в неисполнении при наличии денежных средств на счете должника предъявленных к счету исполнительных листов. Неполучение взыскателем (истцом) присужденных денежных средств в порядке исполнения признано состоящим в причинно-следственной связи с действиями банка, что влечет взыскание с него не полученного по правилам статей 15 , 1064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ВТБ»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"ЭНЕРГОСБЕРЕЖЕНИЕ И МОДЕРНИЗАЦИЯ ПРОМЫШЛЕННЫХ ПРЕДПРИЯТИЙ" (подробнее) Ответчики: ПАО Банк ВТБ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