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банк обратился в суд с заявлением о включении в реестр требований кредиторов должника его требования в размере 11 486 682 099 рублей 10 копеек. Определением Арбитражного суда города Москвы от 12.11.2020, оставленным без изменения постановлением Девятого арбитражного апелляционного суда от 04.02.2021, требование принято к рассмотрению в процедуре банкротства, следующей за процедурой наблюдения.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 первой и апелляционной инстанций руководствовались положениями пунктов 1 и 7 статьи 71 Федерального закона от 26.10.2002 № 127-ФЗ «О несостоятельности (банкротстве)» и исходили из того, что требование банка предъявлено по прошествии тридцати календарных дней с даты опубликования сообщения о введении наблюдения (25.07.2020), в связи с чем в рамках предоставленных им полномочий признали его подлежащим рассмотрению в процедуре, следующей за процедурой наблюдения. Суды не усмотрели наличие оснований для приостановления требований банка, основанных на заявлении о привлечении должника к субсидиарной ответственности, поскольку на момент обращения в суд с настоящим заявлением они не были рассмотрены и обоснованными не признаны. Доводы о невозможности погашения должником всех требований кредиторов, в том числе не включенных в реестр требований кредиторов должника (составляющих более 18 миллиардов рублей) ранее приводились банком при рассмотрении его кассационной жалобы на определение Арбитражного суда города Москвы от 24.12.2020 и постановление Девятого арбитражного апелляционного суда от 17.02.2021 в рамках спора о прекращении производства по настоящему делу о банкротстве должника. Данный обособленный спор постановлением Арбитражного суда Московского округа от 08.04.2021 направлен на новое рассмотрение в суд первой инстанции, в том числе для проверки и оценки приводимых банком доводов. В этой связи права заявителя нельзя признать нарушенными действием обжалуемых им судебных актов.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«Банк «ЮГРА»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