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о передаче жилых помещений требования о передаче квартиры со строительным номером № 30, общей площадью 59,34 кв.м., расположенной на 7 этаже в 1-й секции корпуса 15/2 дома, по адресу: Московская обл., г. Одинцово, микрорайон № 2, корпус 15/2, стоимостью 3 734 712 рублей (далее – спорной квартиры). Определением Арбитражного суда Московской области от 10.02.2020, оставленным без изменения постановлениями Десятого арбитражного апелляционного суда от 05.11.2020 и Арбитражного суда Московского округа от 09.02.2021,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100, 142, 201.4, 201.6 Федерального закона от 26.10.2002 № 127-ФЗ «О несостоятельности (банкротстве)» и исходили из недоказанности факта оплаты спорной квартиры, в связи с чем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«Вольт-Мастер»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