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03.07.2020 требования компании удовлетворены, в удовлетворении требований общества отказано. Постановлением Третьего арбитражного апелляционного суда от 24.09.2020 решение суда первой инстанции изменено, размер взысканных в пользу компании пеней уменьшен до 1 474 795 руб. 41 коп., в остальной части решение суда оставлено без изменения. Постановлением Арбитражного суда Восточно-Сибирского округа от 03.02.2021 решение суда первой инстанции и постановление суда апелляционной инстанции оставлены без изменения. 2 В кассационной жалобе, поданной в Верховный Суд Российской Федерации, общество, выражая несогласие с выводами судов в части отказа в удовлетворении его требований, просит отменить указанные судебные акты как принятые с нарушением норм материального и процессуального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представленные в материалы дела доказательства с учетом положений 65, 66, 68, 71 Арбитражного процессуального кодекса Российской Федерации, суды первой и апелляционной инстанций пришли к выводу об отсутствии оснований для удовлетворения требований общества, исходя из недоказанности факта передачи принадлежащего ему оборудования во владение ответчика и использования им этого оборудования в заявленный период. С указанным выводом впоследствии согласился суд округа, рассмотрев и мотивированно отклонив доводы заявителя, в том числе касающиеся отказа судов в удовлетворении ходатайств о назначении экспертизы. Доводы кассационной жалобы не опровергают выводы судов, не свидетельствуют о существенном нарушении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«Стоун»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