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237 277 431 рубля 01 копейки, из которых 227 335 401 рубль – основной долг и 9 942 031 рубль 01 копейка – проценты за период 31.07.2018 по 27.02.2019, подлежащим удовлетворению в очерёдности, предшествующей распределению ликвидационной квоты. Определением Арбитражного суда Красноярского края от 20.10.2020, оставленным без изменения постановлениями Третьего арбитражного апелляционного суда от 23.12.2020 и Арбитражного суда Восточно-Сибирского округа от 03.03.2021,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69, 311 Арбитражного процессуального кодекса Российской Федерации, статьями 71, 100, 142 Федерального закона от 26.10.2002 № 127-ФЗ «О несостоятельности (банкротстве)», пришли к обоснованным выводам об отсутствии оснований для удовлетворения заявления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«АвиаТрэйд»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