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«ПО «Элером»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«СК «Согласие» 744 000 рублей убытков в виде расходов по аренде транспортного средства. Решением Арбитражного суда города Москвы от 20.01.2020 в удовлетворении иска отказано. Постановлением Девятого арбитражного апелляционного суда от 19.10.2020 решение суда первой инстанции оставлено без изменения. Арбитражный суд Московского округа постановлением от 11.02.2021 указанные судебные акты оставил без изменения. Общество с ограниченной ответственностью «ПО «Элером»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условия договора добровольного страхования автотранспортного средства и Правила добровольного страхования транспортных средств, руководствуясь положениями статей 15, 393, 421, 432, 929, 933, 943, 944 Гражданского кодекса Российской Федерации, суды сделали вывод о недоказанности истцом наличия совокупности обстоятельств, влекущих возможность привлечении ответчика к ответственности в виде возмещения убытков. Доводы, изложенные заявителем в кассационной жалобе, о наличии и доказанности убытков приводились в судах, были рассмотрены судами и им дана надлежащая оценка. Эти доводы,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«ПО «Элером»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