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общества с ограниченной ответственностью «АльтГрупп» и «Трейд-МК» обратились в суд с заявлениями, объединенными в одно производство, о включении в реестр требований кредиторов должника (далее – реестр) требований в размере 233 608 177 рублей 75 копеек и 281 453 902 рубля 94 копейки, соответственно. Акционерное общество Коммерческий банк «Росинтербанк» в лице государственной корпорации «Агентство по страхованию вкладов» (далее – банк) обратилось в суд с заявлением о включении в реестр требования в размере 214 496 859 рублей 18 копеек, объединённым в одно производство с заявлениями названных обществ. Определением Арбитражного суда Республики Татарстан от 04.03.2019, оставленным без изменения постановлениями Одиннадцатого арбитражного апелляционного суда от 26.08.2019 и Арбитражного суда Поволжского округа от 30.10.2019, принят отказ общества «АльтГрупп» от заявленного требования с прекращением по нему производства; в удовлетворении требований общества «Трейд-МК» и банка отказано. Определением Верховного суда Российской Федерации от 25.05.2020 названные судебные акты отменены в части отказа в удовлетворении 2 требования банка о включении в реестр. Обособленный спор в отмененной части направлен на новое рассмотрение в Арбитражный суд Республики Татарстан. При новом рассмотрении определением Арбитражного суда Республики Татарстан от 03.11.2020, оставленным без изменения постановлениями Одиннадцатого арбитражного апелляционного суда от 28.12.2020 и Арбитражного суда Поволжского округа от 10.03.2021, требование банка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требования банка.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309, 310, 336, 352, 357, 391, 819 Гражданского кодекса Российской Федерации, статьями 71, 100,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требование подтверждено документально, основано на возмездной и экономически целесообразной для должника сделке, в связи с чем признали его обоснованным и подлежащим включению в третью очередь реестра.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Приводимые в кассационной жалобе доводы заявителя были предметом рассмотрения судебных инстанций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Юсуповой Юлии Валентиновне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