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Надточей Д.А. обратился в суд с заявлением об исключении из конкурсной массы должника 4318/15999006 доли в праве собственности на объект незавершённого строительства, что соответствует нежилому помещению площадью 43, 18 кв. м в осях 21-24/8-10, блок-секция 2, первой очереди строительства, этаж расположения - цокольный, адрес: город Новосибирск, Дзержинский район, улица Красина, номер (строительный) 54/1. Определением Арбитражного суда Новосибирской области от 28.09.2020, оставленным без изменения постановлениями Седьмого арбитражного апелляционного суда от 10.12.2020 и Арбитражного суда Западно-Сибирского округа от 24.02.2021, в удовлетворении требований отказано.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Арбитражный суд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201.1 Федерального закона от 26.10.2002 № 127-ФЗ «О несостоятельности (банкротстве)», позицией, изложенной в пункте 5 постановления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пришли к выводу об отсутствии оснований для исключения имущества из конкурсной массы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Надточей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